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Journal of Plant Nutrition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34:12–26, 2011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Copyright </w:t>
      </w:r>
      <w:r w:rsidRPr="00A05DB4">
        <w:rPr>
          <w:rFonts w:ascii="NewBaskerville-Roman" w:hAnsi="NewBaskerville-Roman" w:cs="NewBaskerville-Roman"/>
          <w:sz w:val="10"/>
          <w:szCs w:val="10"/>
          <w:lang w:val="en-US"/>
        </w:rPr>
        <w:t>C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_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Taylor &amp; Francis Group, LLC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ISSN: 0190-4167 print / 1532-4087 online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DOI: 10.1080/01904167.2011.531355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MODELING GROWTH AND ION CONCENTRATION OF LILIUM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IN RESPONSE TO NITROGEN</w:t>
      </w:r>
      <w:proofErr w:type="gramStart"/>
      <w:r w:rsidRPr="00A05DB4">
        <w:rPr>
          <w:rFonts w:ascii="Univers-Bold" w:hAnsi="Univers-Bold" w:cs="Univers-Bold"/>
          <w:b/>
          <w:bCs/>
          <w:lang w:val="en-US"/>
        </w:rPr>
        <w:t>:POTASSIUM:CALCIUM</w:t>
      </w:r>
      <w:proofErr w:type="gramEnd"/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</w:rPr>
      </w:pPr>
      <w:r w:rsidRPr="00A05DB4">
        <w:rPr>
          <w:rFonts w:ascii="Univers-Bold" w:hAnsi="Univers-Bold" w:cs="Univers-Bold"/>
          <w:b/>
          <w:bCs/>
        </w:rPr>
        <w:t>MIXTURE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4"/>
          <w:szCs w:val="14"/>
        </w:rPr>
      </w:pPr>
      <w:r w:rsidRPr="00A05DB4">
        <w:rPr>
          <w:rFonts w:ascii="Univers-Bold" w:hAnsi="Univers-Bold" w:cs="Univers-Bold"/>
          <w:b/>
          <w:bCs/>
          <w:sz w:val="20"/>
          <w:szCs w:val="20"/>
        </w:rPr>
        <w:t>Magda Marin</w:t>
      </w:r>
      <w:proofErr w:type="gramStart"/>
      <w:r w:rsidRPr="00A05DB4">
        <w:rPr>
          <w:rFonts w:ascii="Univers-Bold" w:hAnsi="Univers-Bold" w:cs="Univers-Bold"/>
          <w:b/>
          <w:bCs/>
          <w:sz w:val="20"/>
          <w:szCs w:val="20"/>
        </w:rPr>
        <w:t>,</w:t>
      </w:r>
      <w:r w:rsidRPr="00A05DB4">
        <w:rPr>
          <w:rFonts w:ascii="Univers-Bold" w:hAnsi="Univers-Bold" w:cs="Univers-Bold"/>
          <w:b/>
          <w:bCs/>
          <w:sz w:val="14"/>
          <w:szCs w:val="14"/>
        </w:rPr>
        <w:t>1</w:t>
      </w:r>
      <w:proofErr w:type="gramEnd"/>
      <w:r w:rsidRPr="00A05DB4">
        <w:rPr>
          <w:rFonts w:ascii="Univers-Bold" w:hAnsi="Univers-Bold" w:cs="Univers-Bold"/>
          <w:b/>
          <w:bCs/>
          <w:sz w:val="14"/>
          <w:szCs w:val="14"/>
        </w:rPr>
        <w:t xml:space="preserve"> </w:t>
      </w:r>
      <w:r w:rsidRPr="00A05DB4">
        <w:rPr>
          <w:rFonts w:ascii="Univers-Bold" w:hAnsi="Univers-Bold" w:cs="Univers-Bold"/>
          <w:b/>
          <w:bCs/>
          <w:sz w:val="20"/>
          <w:szCs w:val="20"/>
        </w:rPr>
        <w:t>Luis A. Valdez-Aguilar,</w:t>
      </w:r>
      <w:r w:rsidRPr="00A05DB4">
        <w:rPr>
          <w:rFonts w:ascii="Univers-Bold" w:hAnsi="Univers-Bold" w:cs="Univers-Bold"/>
          <w:b/>
          <w:bCs/>
          <w:sz w:val="14"/>
          <w:szCs w:val="14"/>
        </w:rPr>
        <w:t xml:space="preserve">2 </w:t>
      </w:r>
      <w:r w:rsidRPr="00A05DB4">
        <w:rPr>
          <w:rFonts w:ascii="Univers-Bold" w:hAnsi="Univers-Bold" w:cs="Univers-Bold"/>
          <w:b/>
          <w:bCs/>
          <w:sz w:val="20"/>
          <w:szCs w:val="20"/>
        </w:rPr>
        <w:t xml:space="preserve">Ana </w:t>
      </w:r>
      <w:proofErr w:type="spellStart"/>
      <w:r w:rsidRPr="00A05DB4">
        <w:rPr>
          <w:rFonts w:ascii="Univers-Bold" w:hAnsi="Univers-Bold" w:cs="Univers-Bold"/>
          <w:b/>
          <w:bCs/>
          <w:sz w:val="20"/>
          <w:szCs w:val="20"/>
        </w:rPr>
        <w:t>Maria</w:t>
      </w:r>
      <w:proofErr w:type="spellEnd"/>
      <w:r w:rsidRPr="00A05DB4">
        <w:rPr>
          <w:rFonts w:ascii="Univers-Bold" w:hAnsi="Univers-Bold" w:cs="Univers-Bold"/>
          <w:b/>
          <w:bCs/>
          <w:sz w:val="20"/>
          <w:szCs w:val="20"/>
        </w:rPr>
        <w:t xml:space="preserve"> Castillo-Gonzalez,</w:t>
      </w:r>
      <w:r w:rsidRPr="00A05DB4">
        <w:rPr>
          <w:rFonts w:ascii="Univers-Bold" w:hAnsi="Univers-Bold" w:cs="Univers-Bold"/>
          <w:b/>
          <w:bCs/>
          <w:sz w:val="14"/>
          <w:szCs w:val="14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4"/>
          <w:szCs w:val="14"/>
        </w:rPr>
      </w:pPr>
      <w:r w:rsidRPr="00A05DB4">
        <w:rPr>
          <w:rFonts w:ascii="Univers-Bold" w:hAnsi="Univers-Bold" w:cs="Univers-Bold"/>
          <w:b/>
          <w:bCs/>
          <w:sz w:val="20"/>
          <w:szCs w:val="20"/>
        </w:rPr>
        <w:t>Joel Pineda-Pineda</w:t>
      </w:r>
      <w:proofErr w:type="gramStart"/>
      <w:r w:rsidRPr="00A05DB4">
        <w:rPr>
          <w:rFonts w:ascii="Univers-Bold" w:hAnsi="Univers-Bold" w:cs="Univers-Bold"/>
          <w:b/>
          <w:bCs/>
          <w:sz w:val="20"/>
          <w:szCs w:val="20"/>
        </w:rPr>
        <w:t>,</w:t>
      </w:r>
      <w:r w:rsidRPr="00A05DB4">
        <w:rPr>
          <w:rFonts w:ascii="Univers-Bold" w:hAnsi="Univers-Bold" w:cs="Univers-Bold"/>
          <w:b/>
          <w:bCs/>
          <w:sz w:val="14"/>
          <w:szCs w:val="14"/>
        </w:rPr>
        <w:t>3</w:t>
      </w:r>
      <w:proofErr w:type="gramEnd"/>
      <w:r w:rsidRPr="00A05DB4">
        <w:rPr>
          <w:rFonts w:ascii="Univers-Bold" w:hAnsi="Univers-Bold" w:cs="Univers-Bold"/>
          <w:b/>
          <w:bCs/>
          <w:sz w:val="14"/>
          <w:szCs w:val="14"/>
        </w:rPr>
        <w:t xml:space="preserve"> </w:t>
      </w:r>
      <w:r w:rsidR="00936B65">
        <w:rPr>
          <w:rFonts w:ascii="Univers-Bold" w:hAnsi="Univers-Bold" w:cs="Univers-Bold"/>
          <w:b/>
          <w:bCs/>
          <w:sz w:val="20"/>
          <w:szCs w:val="20"/>
        </w:rPr>
        <w:t xml:space="preserve">and Juan J. </w:t>
      </w:r>
      <w:proofErr w:type="spellStart"/>
      <w:r w:rsidR="00936B65">
        <w:rPr>
          <w:rFonts w:ascii="Univers-Bold" w:hAnsi="Univers-Bold" w:cs="Univers-Bold"/>
          <w:b/>
          <w:bCs/>
          <w:sz w:val="20"/>
          <w:szCs w:val="20"/>
        </w:rPr>
        <w:t>Galva</w:t>
      </w:r>
      <w:r w:rsidRPr="00A05DB4">
        <w:rPr>
          <w:rFonts w:ascii="Univers-Bold" w:hAnsi="Univers-Bold" w:cs="Univers-Bold"/>
          <w:b/>
          <w:bCs/>
          <w:sz w:val="20"/>
          <w:szCs w:val="20"/>
        </w:rPr>
        <w:t>n</w:t>
      </w:r>
      <w:proofErr w:type="spellEnd"/>
      <w:r w:rsidRPr="00A05DB4">
        <w:rPr>
          <w:rFonts w:ascii="Univers-Bold" w:hAnsi="Univers-Bold" w:cs="Univers-Bold"/>
          <w:b/>
          <w:bCs/>
          <w:sz w:val="20"/>
          <w:szCs w:val="20"/>
        </w:rPr>
        <w:t xml:space="preserve"> Luna</w:t>
      </w:r>
      <w:r w:rsidRPr="00A05DB4">
        <w:rPr>
          <w:rFonts w:ascii="Univers-Bold" w:hAnsi="Univers-Bold" w:cs="Univers-Bold"/>
          <w:b/>
          <w:bCs/>
          <w:sz w:val="14"/>
          <w:szCs w:val="14"/>
        </w:rPr>
        <w:t>4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</w:rPr>
      </w:pPr>
      <w:r w:rsidRPr="00A05DB4">
        <w:rPr>
          <w:rFonts w:ascii="NewBaskerville-Roman" w:hAnsi="NewBaskerville-Roman" w:cs="NewBaskerville-Roman"/>
          <w:sz w:val="14"/>
          <w:szCs w:val="14"/>
        </w:rPr>
        <w:t>1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Departamento de Fitotecnia, Universidad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Aut´onoma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Chapingo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,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Chapingo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,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Mexico</w:t>
      </w:r>
      <w:proofErr w:type="spellEnd"/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</w:rPr>
      </w:pPr>
      <w:r w:rsidRPr="00A05DB4">
        <w:rPr>
          <w:rFonts w:ascii="NewBaskerville-Roman" w:hAnsi="NewBaskerville-Roman" w:cs="NewBaskerville-Roman"/>
          <w:sz w:val="14"/>
          <w:szCs w:val="14"/>
        </w:rPr>
        <w:t>2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Departamento de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Agroplasticultura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, Centro de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Investigaci´on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 en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Qu´ımica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 Aplicada,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Saltillo,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Mexico</w:t>
      </w:r>
      <w:proofErr w:type="spellEnd"/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</w:rPr>
      </w:pPr>
      <w:r w:rsidRPr="00A05DB4">
        <w:rPr>
          <w:rFonts w:ascii="NewBaskerville-Roman" w:hAnsi="NewBaskerville-Roman" w:cs="NewBaskerville-Roman"/>
          <w:sz w:val="14"/>
          <w:szCs w:val="14"/>
        </w:rPr>
        <w:t>3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Departamento de Suelos, Universidad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Aut´onoma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Chapingo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,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Chapingo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,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Mexico</w:t>
      </w:r>
      <w:proofErr w:type="spellEnd"/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</w:rPr>
      </w:pPr>
      <w:r w:rsidRPr="00A05DB4">
        <w:rPr>
          <w:rFonts w:ascii="NewBaskerville-Roman" w:hAnsi="NewBaskerville-Roman" w:cs="NewBaskerville-Roman"/>
          <w:sz w:val="14"/>
          <w:szCs w:val="14"/>
        </w:rPr>
        <w:t>4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Departamento de Horticultura, Universidad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>Aut´onoma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20"/>
          <w:szCs w:val="20"/>
        </w:rPr>
        <w:t xml:space="preserve"> Agraria Antonio Narro, Saltillo,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Mexico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LASY10" w:hAnsi="LASY10" w:cs="LASY10"/>
          <w:i/>
          <w:iCs/>
          <w:sz w:val="14"/>
          <w:szCs w:val="14"/>
          <w:lang w:val="en-US"/>
        </w:rPr>
        <w:t xml:space="preserve">_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Nutrient solution composition plays an important role in root uptake rate due to interactions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among nutrients and internal regulation. Studies to determine the optimum nutrient solution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are focused on individual ions, ignoring the adaptation mechanisms triggered by plants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when growing in a varying external nutrient concentration. The objective of the present study was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to determine the response in growth and tissue ion concentration of lilium cv. ‘Navona’ to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mixtures of varying proportions of nitrogen (N), potassium (K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), and calcium (Ca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) in solution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using mixture experiments methodology in order to determine the optimum concentration. Bulbs of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lilium were transplanted in plastic crates and drip-irrigated with the treatment solutions, which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consisted of a mixture of N,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, and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whose total concentration was 340 mg 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 xml:space="preserve">1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 minimum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concentrations of each ion was 34 mg 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1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. Chlorophyll concentration (SPAD), shoot fresh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weight (FW), leaf FW, and leaf area were measured 60 days after transplanting and ion analysis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was performed on shoot tissues from selected treatments. Lilium exhibited a moderate demand for 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(136</w:t>
      </w:r>
      <w:r w:rsidRPr="00A05DB4">
        <w:rPr>
          <w:rFonts w:ascii="NewBaskerville-Roman" w:hAnsi="NewBaskerville-Roman" w:cs="NewBaskerville-Roman"/>
          <w:sz w:val="18"/>
          <w:szCs w:val="18"/>
          <w:lang w:val="en-US"/>
        </w:rPr>
        <w:t>–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170 mg 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 xml:space="preserve">1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N and 116</w:t>
      </w:r>
      <w:r w:rsidRPr="00A05DB4">
        <w:rPr>
          <w:rFonts w:ascii="NewBaskerville-Roman" w:hAnsi="NewBaskerville-Roman" w:cs="NewBaskerville-Roman"/>
          <w:sz w:val="18"/>
          <w:szCs w:val="18"/>
          <w:lang w:val="en-US"/>
        </w:rPr>
        <w:t>–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136 mg 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 xml:space="preserve">1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) and a very low demand for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(34</w:t>
      </w:r>
      <w:r w:rsidRPr="00A05DB4">
        <w:rPr>
          <w:rFonts w:ascii="NewBaskerville-Roman" w:hAnsi="NewBaskerville-Roman" w:cs="NewBaskerville-Roman"/>
          <w:sz w:val="18"/>
          <w:szCs w:val="18"/>
          <w:lang w:val="en-US"/>
        </w:rPr>
        <w:t>–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88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mg </w:t>
      </w:r>
      <w:r w:rsidRPr="00A05DB4">
        <w:rPr>
          <w:rFonts w:ascii="MTSY" w:eastAsia="MTSY" w:hAnsi="NewBaskerville-Italic" w:cs="MTSY" w:hint="eastAsia"/>
          <w:sz w:val="18"/>
          <w:szCs w:val="18"/>
          <w:lang w:val="en-US"/>
        </w:rPr>
        <w:t>·</w:t>
      </w:r>
      <w:r w:rsidRPr="00A05DB4">
        <w:rPr>
          <w:rFonts w:ascii="MTSY" w:eastAsia="MTSY" w:hAnsi="NewBaskerville-Italic" w:cs="MTSY"/>
          <w:sz w:val="18"/>
          <w:szCs w:val="18"/>
          <w:lang w:val="en-US"/>
        </w:rPr>
        <w:t xml:space="preserve">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1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). This low demand may be due to the remobilization of the nutrients stored in the bulbs.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Integrating the predictions of the models estimated to produce </w:t>
      </w:r>
      <w:r w:rsidRPr="00A05DB4">
        <w:rPr>
          <w:rFonts w:ascii="RMTMI" w:hAnsi="RMTMI" w:cs="RMTMI"/>
          <w:i/>
          <w:iCs/>
          <w:sz w:val="18"/>
          <w:szCs w:val="18"/>
          <w:lang w:val="en-US"/>
        </w:rPr>
        <w:t>&gt;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90% of maximum growth, the optimum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nutrient solution should contain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at a concentration between 34 and 126 mg </w:t>
      </w:r>
      <w:r w:rsidRPr="00A05DB4">
        <w:rPr>
          <w:rFonts w:ascii="MTSY" w:eastAsia="MTSY" w:hAnsi="NewBaskerville-Italic" w:cs="MTSY" w:hint="eastAsia"/>
          <w:sz w:val="18"/>
          <w:szCs w:val="18"/>
          <w:lang w:val="en-US"/>
        </w:rPr>
        <w:t>·</w:t>
      </w:r>
      <w:r w:rsidRPr="00A05DB4">
        <w:rPr>
          <w:rFonts w:ascii="MTSY" w:eastAsia="MTSY" w:hAnsi="NewBaskerville-Italic" w:cs="MTSY"/>
          <w:sz w:val="18"/>
          <w:szCs w:val="18"/>
          <w:lang w:val="en-US"/>
        </w:rPr>
        <w:t xml:space="preserve">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1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between 119 and 211 mg </w:t>
      </w:r>
      <w:r w:rsidRPr="00A05DB4">
        <w:rPr>
          <w:rFonts w:ascii="MTSY" w:eastAsia="MTSY" w:hAnsi="NewBaskerville-Italic" w:cs="MTSY" w:hint="eastAsia"/>
          <w:sz w:val="18"/>
          <w:szCs w:val="18"/>
          <w:lang w:val="en-US"/>
        </w:rPr>
        <w:t>·</w:t>
      </w:r>
      <w:r w:rsidRPr="00A05DB4">
        <w:rPr>
          <w:rFonts w:ascii="MTSY" w:eastAsia="MTSY" w:hAnsi="NewBaskerville-Italic" w:cs="MTSY"/>
          <w:sz w:val="18"/>
          <w:szCs w:val="18"/>
          <w:lang w:val="en-US"/>
        </w:rPr>
        <w:t xml:space="preserve">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1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, and N between 92 mg </w:t>
      </w:r>
      <w:r w:rsidRPr="00A05DB4">
        <w:rPr>
          <w:rFonts w:ascii="MTSY" w:eastAsia="MTSY" w:hAnsi="NewBaskerville-Italic" w:cs="MTSY" w:hint="eastAsia"/>
          <w:sz w:val="18"/>
          <w:szCs w:val="18"/>
          <w:lang w:val="en-US"/>
        </w:rPr>
        <w:t>·</w:t>
      </w:r>
      <w:r w:rsidRPr="00A05DB4">
        <w:rPr>
          <w:rFonts w:ascii="MTSY" w:eastAsia="MTSY" w:hAnsi="NewBaskerville-Italic" w:cs="MTSY"/>
          <w:sz w:val="18"/>
          <w:szCs w:val="18"/>
          <w:lang w:val="en-US"/>
        </w:rPr>
        <w:t xml:space="preserve">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 xml:space="preserve">1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 xml:space="preserve">and 211 mg </w:t>
      </w:r>
      <w:r w:rsidRPr="00A05DB4">
        <w:rPr>
          <w:rFonts w:ascii="MTSY" w:eastAsia="MTSY" w:hAnsi="NewBaskerville-Italic" w:cs="MTSY" w:hint="eastAsia"/>
          <w:sz w:val="18"/>
          <w:szCs w:val="18"/>
          <w:lang w:val="en-US"/>
        </w:rPr>
        <w:t>·</w:t>
      </w:r>
      <w:r w:rsidRPr="00A05DB4">
        <w:rPr>
          <w:rFonts w:ascii="MTSY" w:eastAsia="MTSY" w:hAnsi="NewBaskerville-Italic" w:cs="MTSY"/>
          <w:sz w:val="18"/>
          <w:szCs w:val="18"/>
          <w:lang w:val="en-US"/>
        </w:rPr>
        <w:t xml:space="preserve">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1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. Increasing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external N concentration affected internal N concentration but not internal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or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concentrations,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despite that the increase in external N was associated with a decrease in external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. Similar trends were observed for external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concentration. In conclusion, lilium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was able to maintain a relatively constant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concentration regardless of the lower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2"/>
          <w:szCs w:val="12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in the nutrient solution when N was increased (similar response was observed for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) and it has a low Ca</w:t>
      </w:r>
      <w:r w:rsidRPr="00A05DB4">
        <w:rPr>
          <w:rFonts w:ascii="NewBaskerville-Italic" w:hAnsi="NewBaskerville-Italic" w:cs="NewBaskerville-Italic"/>
          <w:i/>
          <w:iCs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demand and moderate N and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18"/>
          <w:szCs w:val="18"/>
          <w:lang w:val="en-US"/>
        </w:rPr>
        <w:t>supply.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Received 21 August 2008; accepted 26 July 2009.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Address correspondence to Luis A. Valdez-Aguilar, Centro de Investigaci´on en Qu´ımica Aplicada,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Blvd. </w:t>
      </w:r>
      <w:r w:rsidRPr="00A05DB4">
        <w:rPr>
          <w:rFonts w:ascii="NewBaskerville-Roman" w:hAnsi="NewBaskerville-Roman" w:cs="NewBaskerville-Roman"/>
          <w:sz w:val="16"/>
          <w:szCs w:val="16"/>
        </w:rPr>
        <w:t xml:space="preserve">Enrique Reyna Hermosillo 140, Saltillo, </w:t>
      </w:r>
      <w:proofErr w:type="spellStart"/>
      <w:r w:rsidRPr="00A05DB4">
        <w:rPr>
          <w:rFonts w:ascii="NewBaskerville-Roman" w:hAnsi="NewBaskerville-Roman" w:cs="NewBaskerville-Roman"/>
          <w:sz w:val="16"/>
          <w:szCs w:val="16"/>
        </w:rPr>
        <w:t>Coah</w:t>
      </w:r>
      <w:proofErr w:type="spellEnd"/>
      <w:r w:rsidRPr="00A05DB4">
        <w:rPr>
          <w:rFonts w:ascii="NewBaskerville-Roman" w:hAnsi="NewBaskerville-Roman" w:cs="NewBaskerville-Roman"/>
          <w:sz w:val="16"/>
          <w:szCs w:val="16"/>
        </w:rPr>
        <w:t xml:space="preserve">, 25253 </w:t>
      </w:r>
      <w:proofErr w:type="spellStart"/>
      <w:r w:rsidRPr="00A05DB4">
        <w:rPr>
          <w:rFonts w:ascii="NewBaskerville-Roman" w:hAnsi="NewBaskerville-Roman" w:cs="NewBaskerville-Roman"/>
          <w:sz w:val="16"/>
          <w:szCs w:val="16"/>
        </w:rPr>
        <w:t>Mexico</w:t>
      </w:r>
      <w:proofErr w:type="spellEnd"/>
      <w:r w:rsidRPr="00A05DB4">
        <w:rPr>
          <w:rFonts w:ascii="NewBaskerville-Roman" w:hAnsi="NewBaskerville-Roman" w:cs="NewBaskerville-Roman"/>
          <w:sz w:val="16"/>
          <w:szCs w:val="16"/>
        </w:rPr>
        <w:t>. E-mail: lavaldez@ciqa.mx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</w:rPr>
      </w:pPr>
      <w:r w:rsidRPr="00A05DB4">
        <w:rPr>
          <w:rFonts w:ascii="NewBaskerville-Roman" w:hAnsi="NewBaskerville-Roman" w:cs="NewBaskerville-Roman"/>
          <w:sz w:val="20"/>
          <w:szCs w:val="20"/>
        </w:rPr>
        <w:t>12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proofErr w:type="spellStart"/>
      <w:r w:rsidRPr="00A05DB4">
        <w:rPr>
          <w:rFonts w:ascii="Courier" w:hAnsi="Courier" w:cs="Courier"/>
          <w:sz w:val="12"/>
          <w:szCs w:val="12"/>
        </w:rPr>
        <w:t>Downloaded</w:t>
      </w:r>
      <w:proofErr w:type="spellEnd"/>
      <w:r w:rsidRPr="00A05DB4">
        <w:rPr>
          <w:rFonts w:ascii="Courier" w:hAnsi="Courier" w:cs="Courier"/>
          <w:sz w:val="12"/>
          <w:szCs w:val="12"/>
        </w:rPr>
        <w:t xml:space="preserve"> </w:t>
      </w:r>
      <w:proofErr w:type="spellStart"/>
      <w:r w:rsidRPr="00A05DB4">
        <w:rPr>
          <w:rFonts w:ascii="Courier" w:hAnsi="Courier" w:cs="Courier"/>
          <w:sz w:val="12"/>
          <w:szCs w:val="12"/>
        </w:rPr>
        <w:t>By</w:t>
      </w:r>
      <w:proofErr w:type="spellEnd"/>
      <w:r w:rsidRPr="00A05DB4">
        <w:rPr>
          <w:rFonts w:ascii="Courier" w:hAnsi="Courier" w:cs="Courier"/>
          <w:sz w:val="12"/>
          <w:szCs w:val="12"/>
        </w:rPr>
        <w:t>: [</w:t>
      </w:r>
      <w:proofErr w:type="spellStart"/>
      <w:r w:rsidRPr="00A05DB4">
        <w:rPr>
          <w:rFonts w:ascii="Courier" w:hAnsi="Courier" w:cs="Courier"/>
          <w:sz w:val="12"/>
          <w:szCs w:val="12"/>
        </w:rPr>
        <w:t>Vladez</w:t>
      </w:r>
      <w:proofErr w:type="spellEnd"/>
      <w:r w:rsidRPr="00A05DB4">
        <w:rPr>
          <w:rFonts w:ascii="Courier" w:hAnsi="Courier" w:cs="Courier"/>
          <w:sz w:val="12"/>
          <w:szCs w:val="12"/>
        </w:rPr>
        <w:t xml:space="preserve">-Aguilar, Luis A.] </w:t>
      </w:r>
      <w:r w:rsidRPr="00A05DB4">
        <w:rPr>
          <w:rFonts w:ascii="Courier" w:hAnsi="Courier" w:cs="Courier"/>
          <w:sz w:val="12"/>
          <w:szCs w:val="12"/>
          <w:lang w:val="en-US"/>
        </w:rPr>
        <w:t>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13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8"/>
          <w:szCs w:val="18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8"/>
          <w:szCs w:val="18"/>
          <w:lang w:val="en-US"/>
        </w:rPr>
        <w:t xml:space="preserve">Keywords: </w:t>
      </w:r>
      <w:r w:rsidRPr="00A05DB4">
        <w:rPr>
          <w:rFonts w:ascii="NewBaskerville-Roman" w:hAnsi="NewBaskerville-Roman" w:cs="NewBaskerville-Roman"/>
          <w:sz w:val="18"/>
          <w:szCs w:val="18"/>
          <w:lang w:val="en-US"/>
        </w:rPr>
        <w:t>bulbous plants, cut flowers, fertigation, mixture experiments, nutrient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INTRODUCTION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 uptake is regulated by growth rate and nutrient availability.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Actively growing plants usually exhibit a high nutrient uptake rate in order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meet demands for optimum growth. Optimum growth is a result of high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carbon fixation in the leaves, which in turn supplies the roots with carbohydrates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energy for nutrient uptake. Internal nutritional status may also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regulate uptake rate by the synthesis of signalmolecules that are transported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from the shoot to the root. For instance, regulation of nitrogen (N) uptake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is based on the size of the soluble organic N pool in the plant (Soussana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et al., 2002) and through amino acids and other organic acids that are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translocated to the roots (Tillard et al., 1998; Tinker and Nye, 2000), resulting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in increased N uptake (Touraine et al., 1994) to maintain plant growth.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Uptake rate is also affected by external nutrient activity since plants under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 specific nutrient deprivation show increased uptake rate when the deficient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 is supplied in the soil solution, even in diluted concentrations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(Tinker and Nye, 2000). Uptake regulation is possible due to two systems of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 acquisition, the low and high affinity systems, by which the internal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 concentration may be independent of external concentrations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(Mengel and Kirkby, 2001).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Ion interactions in the external solution also play a role in nutrient uptake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rate. Some cations, for example ammonium (NH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4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 and potassium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), compete for root cell membrane uptake sites due to the similarity of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their ionic charge and ion diameter (Tinker and Nye, 2000)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uptake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is increased by the presence of calcium (Ca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), probably due to improved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membrane integrity (Marschner, 1995). Compared to nitrate (NO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lang w:val="en-US"/>
        </w:rPr>
        <w:t>),NH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4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tends to inhibit the uptake of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probably due to competition for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negative charges (Mengel and Kirkby, 2001). Nonetheless, perhaps for simplicity,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most studies performed to determine optimum external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soilless production systems are focused on individual nutrient assays.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subirrigated New Guinea impatiens, maximum growth was reported when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 was at 8 mM (Kent and Reed, 1996), while phosphorus (P) was at 0.75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0.96 mM for shoot dry weight and flower number, respectively (Whitcher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et al., 2005),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at 2 mM(Blessington-Haley and Reed, 2004). However,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 previously indicated, uptake rate is influenced by internal and external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factors, so that the acquisition rate of a single nutrient may be adjusted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response to the external concentration of other ions. The design of experiments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which the concentration of two or more nutrients is varied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results in overwhelmingly high numbers of treatments. Mixture experiment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14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methodology is an excellent statistical tool when dealing with components,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i.e., the nutrients, which can be mixed in a blend, i.e. the nutrient solution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(Cornell, 2002). This methodology can be applied to nutritional studies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since the solutions would represent a mixture of two or three nutrients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which the total concentration of them is maintained constant, only varying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their proportion, and therefore, the individual concentration of each 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response to the proportions of the nutrients can be modeled considering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each nutrient individually (trace plots), in pairs (binary blends), or 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 response surface in response to the single (one component), binary (two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components), and tertiary blends (three components).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Asiatic lilium is one of the most important cut flower plants cultivated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worldwide. Commercially, Asiatic lilium is grown in soil or soilless cultures,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usually nutrients are provided through fertigation. Nutritional studies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with lilium are of interest because the plant stores nutrients and carbohydrates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the bulb, and this may affect the response to external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concentration compared to non-geophyte plants. The objective of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present study was to determine the effect on growth and tissue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concentration during the forcing phase of perlite-grown lilium cv. ‘Navona’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response to mixtures of varying proportions of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 solution,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using mixture experiments methodology, in order to determine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optimum proportion and concentration in a fertigation solution.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MATERIALS AND METHODS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experiment was conducted under glasshouse conditions from 16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March to 15 May 2006. Average day and night temperature was 26.0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◦</w:t>
      </w:r>
      <w:r w:rsidRPr="00A05DB4">
        <w:rPr>
          <w:rFonts w:ascii="NewBaskerville-Roman" w:hAnsi="NewBaskerville-Roman" w:cs="NewBaskerville-Roman"/>
          <w:lang w:val="en-US"/>
        </w:rPr>
        <w:t>C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15.0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◦</w:t>
      </w:r>
      <w:r w:rsidRPr="00A05DB4">
        <w:rPr>
          <w:rFonts w:ascii="NewBaskerville-Roman" w:hAnsi="NewBaskerville-Roman" w:cs="NewBaskerville-Roman"/>
          <w:lang w:val="en-US"/>
        </w:rPr>
        <w:t>C, respectively, and average maximum and minimum relative humidity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was 70% and 40%, respectively. Bulbs of Asiatic lilium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Lilium </w:t>
      </w:r>
      <w:r w:rsidRPr="00A05DB4">
        <w:rPr>
          <w:rFonts w:ascii="NewBaskerville-Roman" w:hAnsi="NewBaskerville-Roman" w:cs="NewBaskerville-Roman"/>
          <w:lang w:val="en-US"/>
        </w:rPr>
        <w:t>L. hybrids) cv.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‘Navona’ (circumference </w:t>
      </w:r>
      <w:r w:rsidRPr="00A05DB4">
        <w:rPr>
          <w:rFonts w:ascii="MTSY" w:eastAsia="MTSY" w:hAnsi="NewBaskerville-Italic" w:cs="MTSY"/>
          <w:lang w:val="en-US"/>
        </w:rPr>
        <w:t>=</w:t>
      </w:r>
      <w:r w:rsidRPr="00A05DB4">
        <w:rPr>
          <w:rFonts w:ascii="NewBaskerville-Roman" w:hAnsi="NewBaskerville-Roman" w:cs="NewBaskerville-Roman"/>
          <w:lang w:val="en-US"/>
        </w:rPr>
        <w:t>12–14 cm) were immersed in a fungicide drench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for 10 seconds and rinsed with plain water previous to transplant in plastic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crates (36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 xml:space="preserve">65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50 cm). The crates had a 10 cm perlite layer on which 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uniformly distributed bulbs were positioned. After placement of bulbs, roots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were scattered and another layer of perlite was deposited to cover the bulbs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plus 5 cm above the tip.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Plants were established for five days after which they were drip-irrigated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with the treatment solutions. The treatment solutions were designed as 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mixture experiment with three components (each ingredient present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mixture and is expressed as a fraction) mixed in varying proportions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(Cornell, 2002). Since the total concentration of the mixed components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is maintained constant, the sum of all the fractions must be equal to one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the response of plants to the mixtures depends only on the proportions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the components. Treatment solutions consisted of a mixture of N,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whose total concentration (considered as 1) was 340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15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TABLE 1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Mixtures of 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designed using Design Expert version 6.0.4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and the respective concentration of each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Nutrient concentration mg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·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mixtures N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0.10 : 0.10 : 0.80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0 272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0.10 : 0.33 : 0.57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0.10 : 0.57 : 0.33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0.10 : 0.80 : 0.10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0 272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0.22 : 0.22 : 0.57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0.22 : 0.57 : 0.22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0.33 : 0.10 : 0.57 112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0.33 : 0.33 : 0.33 112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0.33 : 0.57 : 0.10 112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0.45 : 0.45 : 0.10 153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0 153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0.57 : 0.10 : 0.33 193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0.57 : 0.22 : 0.22 193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0.57 : 0.33 : 0.10 193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0.80 : 0.10 : 0.10 272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0 34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the proportion at which they were incorporated into the mixture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was varied. The mixture solutions were designed using Design Expert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version 6.0.4 (Stat Ease Inc., Minneapolis, MN, USA) to fit a special cubic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model. Treatments with zero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 the mixtures were avoided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by constraining the proportion to a minimum of 0.1 and a maximum of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0.8, that is, 34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minimum and 272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maximum. The resulting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N:K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:Ca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 are shown in Table 1 along with the corresponding N,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concentrations. The response to the mixtures is represented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an equilateral triangle (Figure 1) in which each vertex corresponds to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one component. The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coordinates begin with the mixture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0.1:0.45:0.45 and continue with the mixtures 0.33:0.33:0.33, 0.57:0.22:0.22,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0.8:0.1:0.1 (Figure 1). In addition to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all the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solutions contained (in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): 31 P, 48 magnesium (Mg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), 4.6 iron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(Fe)—ethylenediaminetetraacetic acid (EDTA), 0.4 zinc (Zn), 0.3 molybdenum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(Mo), 0.6 manganese (Mn), 0.1 boron (B), and 0.2 copper (Cu),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sulfur (S) (which varied between 16 and 26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Plants were irrigated with the mixture solutions though a drip irrigation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system designed to capture the leachate and re-use the solutions. Solution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pH was maintained at 6.0 by additions of sulfuric acid (H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NewBaskerville-Roman" w:hAnsi="NewBaskerville-Roman" w:cs="NewBaskerville-Roman"/>
          <w:lang w:val="en-US"/>
        </w:rPr>
        <w:t>SO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4</w:t>
      </w:r>
      <w:r w:rsidRPr="00A05DB4">
        <w:rPr>
          <w:rFonts w:ascii="NewBaskerville-Roman" w:hAnsi="NewBaskerville-Roman" w:cs="NewBaskerville-Roman"/>
          <w:lang w:val="en-US"/>
        </w:rPr>
        <w:t>) every other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day and the solutions were renewed every 10 days. Municipal water (electrical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conductivity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0.76 dS m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 was used to prepare the mixture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addition of fertilizer salts was adjusted according to the chemical composition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water to meet the concentrations and proportions under study.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Each mixture treatment was replicated twice and was imposed five days after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transplanting. Plants were harvested 60 days after transplanting when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first flower was blooming. Chlorophyll concentration was determined 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16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1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Design points corresponding to themixtures ofN: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evaluated in terms of proportion.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Total concentration was 340mg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·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L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1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. Fractions correspond to theN:K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proportion in themixture,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in that order.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experiment termination with a SPAD meter (Model 501, Minolta Camera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Co., LTD, Tokyo, Japan) from two leaves at the bottom, middle, and top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portion of the stem. Shoot fresh weight (FW), leaf FW, and leaf area were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also measured. Leaf area was measured with a Leaf Area Meter (LI-3100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R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>_</w:t>
      </w:r>
      <w:r w:rsidRPr="00A05DB4">
        <w:rPr>
          <w:rFonts w:ascii="NewBaskerville-Roman" w:hAnsi="NewBaskerville-Roman" w:cs="NewBaskerville-Roman"/>
          <w:lang w:val="en-US"/>
        </w:rPr>
        <w:t>;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</w:rPr>
        <w:t>Li-</w:t>
      </w:r>
      <w:proofErr w:type="spellStart"/>
      <w:r w:rsidRPr="00A05DB4">
        <w:rPr>
          <w:rFonts w:ascii="NewBaskerville-Roman" w:hAnsi="NewBaskerville-Roman" w:cs="NewBaskerville-Roman"/>
        </w:rPr>
        <w:t>Cor</w:t>
      </w:r>
      <w:proofErr w:type="spellEnd"/>
      <w:r w:rsidRPr="00A05DB4">
        <w:rPr>
          <w:rFonts w:ascii="NewBaskerville-Roman" w:hAnsi="NewBaskerville-Roman" w:cs="NewBaskerville-Roman"/>
        </w:rPr>
        <w:t xml:space="preserve"> Inc., Lincoln, NE, USA). </w:t>
      </w:r>
      <w:r w:rsidRPr="00A05DB4">
        <w:rPr>
          <w:rFonts w:ascii="NewBaskerville-Roman" w:hAnsi="NewBaskerville-Roman" w:cs="NewBaskerville-Roman"/>
          <w:lang w:val="en-US"/>
        </w:rPr>
        <w:t>Shoots from selected treatments were dried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for four days at 65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◦</w:t>
      </w:r>
      <w:r w:rsidRPr="00A05DB4">
        <w:rPr>
          <w:rFonts w:ascii="NewBaskerville-Roman" w:hAnsi="NewBaskerville-Roman" w:cs="NewBaskerville-Roman"/>
          <w:lang w:val="en-US"/>
        </w:rPr>
        <w:t>C and ground to pass a 40-mesh screen for tissue analysis,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which included: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P, Mg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B, Cu, Fe, Mn, Na, and Zn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n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 xml:space="preserve">3). Shoot samples were digested in 4 mL of a mixture of sulfuric acid </w:t>
      </w:r>
      <w:r w:rsidRPr="00A05DB4">
        <w:rPr>
          <w:rFonts w:ascii="MTSY" w:eastAsia="MTSY" w:hAnsi="NewBaskerville-Italic" w:cs="MTSY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perchloric acid (2:1) and 2 mL of 30% hydrogen peroxide. Nitrogen was determined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by Kjedahl procedure and the reminding elements by inductively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coupled plasma mass spectrometry. Data were analyzed with Design Expert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plot the response surface, calculate ANOVA and the models that best fit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to the response. Model selection was based on significance, high 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>R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NewBaskerville-Roman" w:hAnsi="NewBaskerville-Roman" w:cs="NewBaskerville-Roman"/>
          <w:lang w:val="en-US"/>
        </w:rPr>
        <w:t>,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model with fewer terms. Shoot nutrient concentration was statistically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analyzed using SAS (SAS Institute, Cary, NC, USA) to obtain ANOVA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multiple comparison tests according to Tukey’s procedure.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RESULTS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Shoot FW was significantly affected by the N :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: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(Figure 2). The N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interaction had a synergistic effect, despite that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at the lowest proportion (0.1), as indicated by the increased shoot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FW when both were present in the mixtures (note the rise in the N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17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2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Response surface and counter-plots exhibiting the effect of 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mixtures in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solutions used to irrigate lilium cv. Navona on shoot fresh weight (SFW) and leaf fresh weight (LFW).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The models were: SFW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40.47N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28.38K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57.01Ca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113.36N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K (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P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0.005,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0.743, Adj.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0.658) and LFW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15.41N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15.14K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11.68Ca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8.49N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14.51N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12.43K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Ca (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P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0.009,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0.849, Adj.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0.740).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edge in Figure 2). Trace plot (Figure 3) shows that shoot FW was higher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when the proportion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low (</w:t>
      </w:r>
      <w:r w:rsidRPr="00A05DB4">
        <w:rPr>
          <w:rFonts w:ascii="RMTMI" w:hAnsi="RMTMI" w:cs="RMTMI"/>
          <w:i/>
          <w:iCs/>
          <w:lang w:val="en-US"/>
        </w:rPr>
        <w:t>&lt;</w:t>
      </w:r>
      <w:r w:rsidRPr="00A05DB4">
        <w:rPr>
          <w:rFonts w:ascii="NewBaskerville-Roman" w:hAnsi="NewBaskerville-Roman" w:cs="NewBaskerville-Roman"/>
          <w:lang w:val="en-US"/>
        </w:rPr>
        <w:t>0.33)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N proportions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were high (</w:t>
      </w:r>
      <w:r w:rsidRPr="00A05DB4">
        <w:rPr>
          <w:rFonts w:ascii="RMTMI" w:hAnsi="RMTMI" w:cs="RMTMI"/>
          <w:i/>
          <w:iCs/>
          <w:lang w:val="en-US"/>
        </w:rPr>
        <w:t>&lt;</w:t>
      </w:r>
      <w:r w:rsidRPr="00A05DB4">
        <w:rPr>
          <w:rFonts w:ascii="NewBaskerville-Roman" w:hAnsi="NewBaskerville-Roman" w:cs="NewBaskerville-Roman"/>
          <w:lang w:val="en-US"/>
        </w:rPr>
        <w:t>0.5 for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between 0.33 and 0.75 for N). The mixture that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model predicts to produce to highest shoot FW (60.0 g) was 0.5 : 0.4 :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0.1, which would contain 170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 xml:space="preserve">N, 130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 xml:space="preserve">, and 34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The highest 10% of maximum shoot FW is predicted to be produced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when the mixtures contained N at proportions between 0.30 and 0.64 (102–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218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N),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 xml:space="preserve">between 0.19 and 0.54 (65–184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between 0.11 and 0.39 (37—133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18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3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Trace plots showing the individual effect of N,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andCa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proportions in nutrient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used to irrigate lilium cv. Navona on shoot and leaf fresh weight, leaf area, and SPAD. The predictions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are based on a reference blend which is 0.33:0.33:0.33.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Leaf FW was significantly affected by the N:K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:Ca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 (Figure 2).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In this case, the N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 xml:space="preserve">, N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MTSY" w:eastAsia="MTSY" w:hAnsi="NewBaskerville-Italic" w:cs="MTSY" w:hint="eastAsia"/>
          <w:lang w:val="en-US"/>
        </w:rPr>
        <w:t>×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interactions had 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synergistic effect since shoot FW increased when both elements were present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the mixtures. Trace plot (Figure 3) shows that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had a marked effect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on leaf growth while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effect wasmarginal. Leaf FW was higher when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proportion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low (</w:t>
      </w:r>
      <w:r w:rsidRPr="00A05DB4">
        <w:rPr>
          <w:rFonts w:ascii="RMTMI" w:hAnsi="RMTMI" w:cs="RMTMI"/>
          <w:i/>
          <w:iCs/>
          <w:lang w:val="en-US"/>
        </w:rPr>
        <w:t>&lt;</w:t>
      </w:r>
      <w:r w:rsidRPr="00A05DB4">
        <w:rPr>
          <w:rFonts w:ascii="NewBaskerville-Roman" w:hAnsi="NewBaskerville-Roman" w:cs="NewBaskerville-Roman"/>
          <w:lang w:val="en-US"/>
        </w:rPr>
        <w:t>0.33) while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N proportions were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between 0.33 and 0.55. The mixture that the model predicts to produce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highest leaf FW (18.1 g) was 0.40:0.34:0.26, which would contain 136 mg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116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88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The highest 10% of maximum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leaf FW was predicted to be produced when the mixtures contained N 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proportions between 0.23 and 0.79,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between 0.10 and 0.42,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between 0.10 to 0.46 (78–269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34–143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34–156 mg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Leaf area was significantly affected by the N :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: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(Figure 4). Nitrogen,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had a marked effect on leaf growth (Figure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3). Leaf area was higher when the proportion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low (</w:t>
      </w:r>
      <w:r w:rsidRPr="00A05DB4">
        <w:rPr>
          <w:rFonts w:ascii="RMTMI" w:hAnsi="RMTMI" w:cs="RMTMI"/>
          <w:i/>
          <w:iCs/>
          <w:lang w:val="en-US"/>
        </w:rPr>
        <w:t>&lt;</w:t>
      </w:r>
      <w:r w:rsidRPr="00A05DB4">
        <w:rPr>
          <w:rFonts w:ascii="NewBaskerville-Roman" w:hAnsi="NewBaskerville-Roman" w:cs="NewBaskerville-Roman"/>
          <w:lang w:val="en-US"/>
        </w:rPr>
        <w:t>0.33)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19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4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Response surface and counter-plots exhibiting the effect of 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mixtures in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solutions used to irrigate lilium cv. Navona on leaf area (LA) and SPAD. The models were: LA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250.3N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277.0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505.5Ca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603.0N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299.4N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Ca—1170.2N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K(N-K)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1620.0N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Ca(N-Ca) (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P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0.011,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6"/>
          <w:szCs w:val="16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0.892, Adj.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0.784) and SPAD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53.86N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43.63K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41.26Ca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26.82N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K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23.29N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Ca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20.79K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×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Ca (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P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0.002,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0.898, Adj.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R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0.826).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while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between 0.49 to 0.88 and N at 0.42 to 0.69. The mixture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that the model predicts to produce the highest leaf area (485.4 cm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NewBaskerville-Roman" w:hAnsi="NewBaskerville-Roman" w:cs="NewBaskerville-Roman"/>
          <w:lang w:val="en-US"/>
        </w:rPr>
        <w:t>) was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0.28:0.62:0.10, which would contain 95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211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34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The highest 10% of maximum leaf area was predicted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be produced when the mixtures contain N at proportions between 0.28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0.60,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between 0.10 and 0.62,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between 0.10 and 0.31 (95–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204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34–211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34–105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SPAD index was significantly affected by the N:K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:Ca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 (Figure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4). Trace plot (Figure 3) indicates that increasing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proportion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20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mixtures had a detrimental effect in SPAD, while increasing N resulted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increasing SPAD. Potassium was associated with high SPAD when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proportion was </w:t>
      </w:r>
      <w:r w:rsidRPr="00A05DB4">
        <w:rPr>
          <w:rFonts w:ascii="RMTMI" w:hAnsi="RMTMI" w:cs="RMTMI"/>
          <w:i/>
          <w:iCs/>
          <w:lang w:val="en-US"/>
        </w:rPr>
        <w:t>&lt;</w:t>
      </w:r>
      <w:r w:rsidRPr="00A05DB4">
        <w:rPr>
          <w:rFonts w:ascii="NewBaskerville-Roman" w:hAnsi="NewBaskerville-Roman" w:cs="NewBaskerville-Roman"/>
          <w:lang w:val="en-US"/>
        </w:rPr>
        <w:t>0.33. The mixture that the model predicts to produce to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highest SPAD (56.4) was 0.65: 0.25: 0.10, which would contain 221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N, 85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34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The highest 10% SPAD was predicted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be produced when the mixtures contained N at proportions between 0.19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0.70,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between 0.13 and 0.59,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between 0.11 to 0.56 (65–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238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44–201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37–190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Shoot concentration of P,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Mg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S, Cu, Mn, and Zn were significantly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affected by the N:K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:Ca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mixtures (Table 2). The highest P, Mg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Mn concentrations were observed in plants irrigated with solutions containing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 at proportions higher than 0.57, while highest S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was in plants irrigated with mixtures containing N at 0.33. Shoot Cu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Zn concentrations were significantly higher in plants irrigated with mixtures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containing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at 0.57 and N at proportions of 0.8, respectively. Shoot N,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was directly affected by N:K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:Ca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composition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the nutrient solution (Figure 5). Increasing N concentration in the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solution was correlated with shoot N concentration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0.641) but not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with shoot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0.214)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0.042) concentration (Figure 5).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However, N concentration in the nutrient solution exhibited a significant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correlation with shoot concentration with most of the reminding nutrients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analyzed; direct correlations were observed between N with P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0.836),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Mg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0.609), Fe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0.855), and Mn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0.787), while quadratic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trends were observed with S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0.907), B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0.990), and Zn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>=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0.730). Similarly, increasing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in the solution was directly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correlated with shoot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0.640) but not with shoot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0.113)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0.448) (Figure 5), while increasing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nutrient solution was directly correlated with shoot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0.723) but not with N 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0.216) 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r 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MTSY" w:eastAsia="MTSY" w:hAnsi="NewBaskerville-Italic" w:cs="MTSY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lang w:val="en-US"/>
        </w:rPr>
        <w:t>0.093)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(Figure 5).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DISCUSSION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Lilium is reported to require no fertilization under greenhouse conditions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during the forcing phase (McKenzie, 1989) or to require, starting 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shoot emergence (Aimone, 1986), a moderate fertilizer supply (De Hertogh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Le Nard, 1993). The moderate or no fertilizer requirement by lilium is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explained by the high concentration of nutrients stored in the bulb (McKenzie,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1989) that may be remobilized when the shoot is actively growing.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the present study, the fact that no significant models were estimated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for shoot length, number of flowers, and flower diameter (data not shown),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suggests that these parameters were not affected by the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composition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the nutrient solution. Thus, lilium can be considered a species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TABLE 2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Shoot nutrient concentration at experiment termination in Lilium cv. Navona irrigated with solutions of varying 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proportions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concentrations. Shoot N concentration is in percent and the reminding elements are in mg </w:t>
      </w:r>
      <w:r w:rsidRPr="00A05DB4">
        <w:rPr>
          <w:rFonts w:ascii="MTSY" w:eastAsia="MTSY" w:hAnsi="NewBaskerville-Italic" w:cs="MTSY" w:hint="eastAsia"/>
          <w:sz w:val="16"/>
          <w:szCs w:val="16"/>
          <w:lang w:val="en-US"/>
        </w:rPr>
        <w:t>·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Kg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Shoot nutrient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Mixture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N :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: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N P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z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Mg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 B Cu Fe Mn Zn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 : 0.1 : 0.8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01 2719 cd 14716 d 6880 a 2501 bc 2531 c 367 49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c 114 46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 c 82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0.1 : 0.8 : 0.1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01 2420 d 20316 a 3768 d 2181 d 3086 b 332 49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 c 114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6 b 101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 bc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0.22 : 0.22 : 0.57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50 2609 d 18116 bc 6770 ab 2454 c 3519 a 586 59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4 ab 128 78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b 109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bc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lastRenderedPageBreak/>
        <w:t>0.33 : 0.1 : 0.57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26 3122 bc 13427 d 7349 a 2667 bc 3395 ab 442 56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3 abc 143 72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b 129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ab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0.33 : 0.33 : 0.33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51 2646 d 19623 ab 5849 bc 2753 ab 3210 ab 642 51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7 bc 145 74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b 113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b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0.57 : 0.1 : 0.33 3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51 3621 a 14787 d 6562 abc 2989 a 2407 c 442 52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bc 196 115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a 122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 b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0.57 : 0.22 : 0.22 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51 3127 bc 17409 c 5717 c 2576 bc 2346 c 421 52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8 bc 146 122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9 a 112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7 b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0.8 : 0.1 : 0.1 4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26 3446 ab 15055 d 4326 d 2990 a 1173 d 375 61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 a 162 129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6 a 155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.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3 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ANOVA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y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NS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NS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NS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z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Means (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n </w:t>
      </w:r>
      <w:r w:rsidRPr="00A05DB4">
        <w:rPr>
          <w:rFonts w:ascii="MTSY" w:eastAsia="MTSY" w:hAnsi="NewBaskerville-Italic" w:cs="MTSY"/>
          <w:sz w:val="16"/>
          <w:szCs w:val="16"/>
          <w:lang w:val="en-US"/>
        </w:rPr>
        <w:t xml:space="preserve">=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3) followed by the same letter are not significantly different according to Tukey’s multiple comparison test.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y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NS,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,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, </w:t>
      </w: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∗∗∗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non significant and significant at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P 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 xml:space="preserve">&lt;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0.05, 0.01, and 0.001, respectively.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21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22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5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Effect of solution N (top),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(middle), and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(bottom) concentration on shoot N,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and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concentration.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that is adaptable to a wide range of nutrient concentrations; however, the significantmodels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for other growth attributes indicate that lilium responded to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composition of the external solution, indicating that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nutrients provided by the bulb are not sufficient to meet growth demands,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 indicated by Ortega-Blu et al. (2006). Shoot FW and leaf FW were highest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when plants were irrigated with solutions higher in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proportions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(0.40</w:t>
      </w:r>
      <w:r w:rsidRPr="00A05DB4">
        <w:rPr>
          <w:rFonts w:ascii="MTSY" w:eastAsia="MTSY" w:hAnsi="NewBaskerville-Italic" w:cs="MTSY" w:hint="eastAsia"/>
          <w:lang w:val="en-US"/>
        </w:rPr>
        <w:t>−</w:t>
      </w:r>
      <w:r w:rsidRPr="00A05DB4">
        <w:rPr>
          <w:rFonts w:ascii="NewBaskerville-Roman" w:hAnsi="NewBaskerville-Roman" w:cs="NewBaskerville-Roman"/>
          <w:lang w:val="en-US"/>
        </w:rPr>
        <w:t>0.50 and 0.34</w:t>
      </w:r>
      <w:r w:rsidRPr="00A05DB4">
        <w:rPr>
          <w:rFonts w:ascii="MTSY" w:eastAsia="MTSY" w:hAnsi="NewBaskerville-Italic" w:cs="MTSY" w:hint="eastAsia"/>
          <w:lang w:val="en-US"/>
        </w:rPr>
        <w:t>−</w:t>
      </w:r>
      <w:r w:rsidRPr="00A05DB4">
        <w:rPr>
          <w:rFonts w:ascii="NewBaskerville-Roman" w:hAnsi="NewBaskerville-Roman" w:cs="NewBaskerville-Roman"/>
          <w:lang w:val="en-US"/>
        </w:rPr>
        <w:t>0.40, respectively), while the demands for maximum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leaf area and chlorophyll concentration (SPAD) were high in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(0.65)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23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 (0.62), respectively. Therefore, FW accumulation was mainly influenced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by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while leaf expansion was mostly influenced only by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In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geophyte 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>Sandersonia aurantiaca</w:t>
      </w:r>
      <w:r w:rsidRPr="00A05DB4">
        <w:rPr>
          <w:rFonts w:ascii="NewBaskerville-Roman" w:hAnsi="NewBaskerville-Roman" w:cs="NewBaskerville-Roman"/>
          <w:lang w:val="en-US"/>
        </w:rPr>
        <w:t>, Clark (1997) demonstrated that shoot FW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was not affected by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rates but biomass accumulation increased by 10%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when N supply increased. Similarly, 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Lilium longiflorum </w:t>
      </w:r>
      <w:r w:rsidRPr="00A05DB4">
        <w:rPr>
          <w:rFonts w:ascii="NewBaskerville-Roman" w:hAnsi="NewBaskerville-Roman" w:cs="NewBaskerville-Roman"/>
          <w:lang w:val="en-US"/>
        </w:rPr>
        <w:t>cv ‘Nellie White’ is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reported to exhibit a significant decrease in stem </w:t>
      </w:r>
      <w:r w:rsidRPr="00A05DB4">
        <w:rPr>
          <w:rFonts w:ascii="MTSY" w:eastAsia="MTSY" w:hAnsi="NewBaskerville-Italic" w:cs="MTSY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leaf FW when fertilized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with N-P-K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-deprived solutions, but individual nutrient deprivation caused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no significant reduction in FW accumulation (Niedziela et al, 2008). This is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contrast with the results observed in the present study since lilium plants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produced the highest FWwhen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concentrations in the nutrient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solution were as low as 92, 112, and 34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, respectively, which may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be probably due to the absolute deprivation of N-P-K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reported by Niedziela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et al. (2008), while in our study no nutrient was at zero concentration.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models indicate a small supply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requirement since the optimum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proportion ranged between 0.1 and 0.26 (34 to 88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).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low demand for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 lilium may be due to the relatively high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this ion stored in the bulb (Dole and Wilkins, 1999), however,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storage of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not sufficient for growth maintenance and thus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these nutrients must be supplied at higher rates in the irrigation solution.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This is in agreement with reports recommending liquid fertilization of lilium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based on KNO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3 </w:t>
      </w:r>
      <w:r w:rsidRPr="00A05DB4">
        <w:rPr>
          <w:rFonts w:ascii="NewBaskerville-Roman" w:hAnsi="NewBaskerville-Roman" w:cs="NewBaskerville-Roman"/>
          <w:lang w:val="en-US"/>
        </w:rPr>
        <w:t>but not on Ca(NO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3</w:t>
      </w:r>
      <w:r w:rsidRPr="00A05DB4">
        <w:rPr>
          <w:rFonts w:ascii="NewBaskerville-Roman" w:hAnsi="NewBaskerville-Roman" w:cs="NewBaskerville-Roman"/>
          <w:lang w:val="en-US"/>
        </w:rPr>
        <w:t>)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2 </w:t>
      </w:r>
      <w:r w:rsidRPr="00A05DB4">
        <w:rPr>
          <w:rFonts w:ascii="NewBaskerville-Roman" w:hAnsi="NewBaskerville-Roman" w:cs="NewBaskerville-Roman"/>
          <w:lang w:val="en-US"/>
        </w:rPr>
        <w:t>(McKenzie, 1989). Chang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Miller (2003) demonstrated that the lower and middle leaves of lilium rely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on the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supplied by bulb, while the upper leaves demanded more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assimilated and transported from the roots. The authors also showed that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if the bulb does not contain enough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this is not supplied externally,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plants will develop upper leaf necrosis, a typical symptom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deficiency.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According to our results, leaf area was associated with a high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in the nutrient solution, probably due to its role in water relations,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turgor maintenance, and cell expansion (Mengel and Kirkby, 2001). Thus,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 ample supply of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is recommended for leaf development, which will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contribute to plant quality since foliage is considered an important quality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factor to lilium (McKenzie, 1989). Ortega-Blu et al. (2006) reported a total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accumulation of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that was 3.5 and 7.6 times higher than that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respectively, in the shoots of lilium cv ‘Navona’; nonetheless,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accumulation was only 0.7 and 2.6 times higher in the bulbs. This suggests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that the demand for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is much higher than that of N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which is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agreement with the results observed in the present study. The higher SPAD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associated with high N–low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solutions was probably due to a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effect of chlorophyll in leaves with the smaller leaf area that resulted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plants irrigated with such a solution.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correlation between shoot N concentration and most of the reminding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nutrients may be related to the influence of N in plant growth since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actively growing plants usually exhibit a high nutrient demand. Accordingly,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24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 positive correlation between N and P and other micronutrients has been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reported by Fageria (2001). The external concentration of N affected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MTSY" w:eastAsia="MTSY" w:hAnsi="NewBaskerville-Italic" w:cs="MTSY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internal N concentration but not the internal concentration of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despite that the increase in external N was associated to a decrease in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 xml:space="preserve">in the nutrient solution. Similarly, </w:t>
      </w:r>
      <w:r w:rsidRPr="00A05DB4">
        <w:rPr>
          <w:rFonts w:ascii="NewBaskerville-Italic" w:hAnsi="NewBaskerville-Italic" w:cs="NewBaskerville-Italic"/>
          <w:i/>
          <w:iCs/>
          <w:lang w:val="en-US"/>
        </w:rPr>
        <w:t xml:space="preserve">Sandersonia aurantiaca </w:t>
      </w:r>
      <w:r w:rsidRPr="00A05DB4">
        <w:rPr>
          <w:rFonts w:ascii="NewBaskerville-Roman" w:hAnsi="NewBaskerville-Roman" w:cs="NewBaskerville-Roman"/>
          <w:lang w:val="en-US"/>
        </w:rPr>
        <w:t>was reported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to exhibit increased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in response to increased fertilization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(Clark, 1997). Similar trends were observed for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which external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affected internal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but not internal N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whereas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external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affected internal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but not internal N or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The increasing shoot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 in response to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respective external concentration is probably due to the passive transport associated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with a higher nutrient availability in the external solution.However,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fact that increasing external N concentration (or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 did not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affect shoot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(or N or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 andCa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(or N or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) concentration suggests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that plants are regulating the uptake of the nutrients in decreasing external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concentrations in order to maintain a constant shoot concentration.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The integration of the predictions of each individual model allows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definition of a specific area in the contour plot that includes those solutions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at which a threshold can be achieved. Considering as optimum solutions in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which plants produced </w:t>
      </w:r>
      <w:r w:rsidRPr="00A05DB4">
        <w:rPr>
          <w:rFonts w:ascii="RMTMI" w:hAnsi="RMTMI" w:cs="RMTMI"/>
          <w:i/>
          <w:iCs/>
          <w:lang w:val="en-US"/>
        </w:rPr>
        <w:t>&gt;</w:t>
      </w:r>
      <w:r w:rsidRPr="00A05DB4">
        <w:rPr>
          <w:rFonts w:ascii="NewBaskerville-Roman" w:hAnsi="NewBaskerville-Roman" w:cs="NewBaskerville-Roman"/>
          <w:lang w:val="en-US"/>
        </w:rPr>
        <w:t>90% of maximum shoot FW, leaf FW, leaf area,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and SPAD, the area predicted for optimum growth is shown in Figure 6.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Bold" w:hAnsi="NewBaskerville-Bold" w:cs="NewBaskerville-Bold"/>
          <w:b/>
          <w:bCs/>
          <w:sz w:val="16"/>
          <w:szCs w:val="16"/>
          <w:lang w:val="en-US"/>
        </w:rPr>
        <w:t xml:space="preserve">FIGURE 6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Contour plot showing the area (white) in which the combination of N, K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>+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2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will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render </w:t>
      </w:r>
      <w:r w:rsidRPr="00A05DB4">
        <w:rPr>
          <w:rFonts w:ascii="RMTMI" w:hAnsi="RMTMI" w:cs="RMTMI"/>
          <w:i/>
          <w:iCs/>
          <w:sz w:val="16"/>
          <w:szCs w:val="16"/>
          <w:lang w:val="en-US"/>
        </w:rPr>
        <w:t>&gt;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90% of maximum shoot fresh weight, leaf fresh weight, leaf area, and SPAD.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20"/>
          <w:szCs w:val="20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Mixtures of N, K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and Ca</w:t>
      </w:r>
      <w:r w:rsidRPr="00A05DB4">
        <w:rPr>
          <w:rFonts w:ascii="NewBaskerville-Italic" w:hAnsi="NewBaskerville-Italic" w:cs="NewBaskerville-Italic"/>
          <w:i/>
          <w:iCs/>
          <w:sz w:val="14"/>
          <w:szCs w:val="14"/>
          <w:lang w:val="en-US"/>
        </w:rPr>
        <w:t>2</w:t>
      </w:r>
      <w:r w:rsidRPr="00A05DB4">
        <w:rPr>
          <w:rFonts w:ascii="MTSY" w:eastAsia="MTSY" w:hAnsi="NewBaskerville-Italic" w:cs="MTSY"/>
          <w:sz w:val="14"/>
          <w:szCs w:val="14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>25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this area, the proportion of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was as low as 0.1 (34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 and 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high as 0.37 (126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as low as 0.35 (119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 and as high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as 0.62 (211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), and N as low as 0.27 (92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 and as high as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0.62 (211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1</w:t>
      </w:r>
      <w:r w:rsidRPr="00A05DB4">
        <w:rPr>
          <w:rFonts w:ascii="NewBaskerville-Roman" w:hAnsi="NewBaskerville-Roman" w:cs="NewBaskerville-Roman"/>
          <w:lang w:val="en-US"/>
        </w:rPr>
        <w:t>). The optimum growth predicted despite the wide range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of optimum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concentrations was possible probably due to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active nutrient uptake or because of an homeostatic plant response in which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a high affinity system is activated for nutrient uptake in spite of marginal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lastRenderedPageBreak/>
        <w:t>external concentrations (Marschner, 1995), allowing ion accumulation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growth. Subasinghe (2007) demonstrated that 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stress increased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root affinity for NO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absorption in sugarcane.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Merhaut and Newman (2005) stressed the importance of decreasing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5"/>
          <w:szCs w:val="15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NO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leaching loss in nurseries and greenhouses of coastal California, where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lilium is an important crop. Using commercial practices, the authors fertilized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Oriental lilium plants with a solution containing 185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N, 275 mg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160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. However, according to our data, acceptable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 xml:space="preserve">growth of lilium can be attained with 92 mg </w:t>
      </w:r>
      <w:r w:rsidRPr="00A05DB4">
        <w:rPr>
          <w:rFonts w:ascii="MTSY" w:eastAsia="MTSY" w:hAnsi="NewBaskerville-Italic" w:cs="MTSY" w:hint="eastAsia"/>
          <w:lang w:val="en-US"/>
        </w:rPr>
        <w:t>·</w:t>
      </w:r>
      <w:r w:rsidRPr="00A05DB4">
        <w:rPr>
          <w:rFonts w:ascii="MTSY" w:eastAsia="MTSY" w:hAnsi="NewBaskerville-Italic" w:cs="MTSY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lang w:val="en-US"/>
        </w:rPr>
        <w:t>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N. The models estimate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that fertilizing with this N concentration and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at 214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34 mg L</w:t>
      </w:r>
      <w:r w:rsidRPr="00A05DB4">
        <w:rPr>
          <w:rFonts w:ascii="MTSY" w:eastAsia="MTSY" w:hAnsi="NewBaskerville-Italic" w:cs="MTSY" w:hint="eastAsia"/>
          <w:sz w:val="15"/>
          <w:szCs w:val="15"/>
          <w:lang w:val="en-US"/>
        </w:rPr>
        <w:t>−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 xml:space="preserve">1 </w:t>
      </w:r>
      <w:r w:rsidRPr="00A05DB4">
        <w:rPr>
          <w:rFonts w:ascii="NewBaskerville-Roman" w:hAnsi="NewBaskerville-Roman" w:cs="NewBaskerville-Roman"/>
          <w:lang w:val="en-US"/>
        </w:rPr>
        <w:t>(0.27: 0.63: 0.10), respectively, shoot FW will be 90% of that obtained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by plants with maximum growth, leaf area will be 100%, and leaf FW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will be 96%. Thus, N losses can be markedly reduced for lilium cut flower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production with minimal effects on growth.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conclusion, greenhouse-forced lilium plants were able to maintain 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relatively constant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concentration regardless of the lower concentration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 the nutrient solution when N was increased, and had a low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demand, a moderate N demand, and a high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demand. Adequate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stored in the bulb must play an important role on these results.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information provided can be used to design fertigation solutions with a low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concentration of N, K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>+</w:t>
      </w:r>
      <w:r w:rsidRPr="00A05DB4">
        <w:rPr>
          <w:rFonts w:ascii="NewBaskerville-Roman" w:hAnsi="NewBaskerville-Roman" w:cs="NewBaskerville-Roman"/>
          <w:lang w:val="en-US"/>
        </w:rPr>
        <w:t>, and Ca</w:t>
      </w:r>
      <w:r w:rsidRPr="00A05DB4">
        <w:rPr>
          <w:rFonts w:ascii="NewBaskerville-Roman" w:hAnsi="NewBaskerville-Roman" w:cs="NewBaskerville-Roman"/>
          <w:sz w:val="15"/>
          <w:szCs w:val="15"/>
          <w:lang w:val="en-US"/>
        </w:rPr>
        <w:t>2</w:t>
      </w:r>
      <w:r w:rsidRPr="00A05DB4">
        <w:rPr>
          <w:rFonts w:ascii="MTSY" w:eastAsia="MTSY" w:hAnsi="NewBaskerville-Italic" w:cs="MTSY"/>
          <w:sz w:val="15"/>
          <w:szCs w:val="15"/>
          <w:lang w:val="en-US"/>
        </w:rPr>
        <w:t xml:space="preserve">+ </w:t>
      </w:r>
      <w:r w:rsidRPr="00A05DB4">
        <w:rPr>
          <w:rFonts w:ascii="NewBaskerville-Roman" w:hAnsi="NewBaskerville-Roman" w:cs="NewBaskerville-Roman"/>
          <w:lang w:val="en-US"/>
        </w:rPr>
        <w:t>in order to reduce the negative impacts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lang w:val="en-US"/>
        </w:rPr>
      </w:pPr>
      <w:r w:rsidRPr="00A05DB4">
        <w:rPr>
          <w:rFonts w:ascii="NewBaskerville-Roman" w:hAnsi="NewBaskerville-Roman" w:cs="NewBaskerville-Roman"/>
          <w:lang w:val="en-US"/>
        </w:rPr>
        <w:t>on the environment.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lang w:val="en-US"/>
        </w:rPr>
      </w:pPr>
      <w:r w:rsidRPr="00A05DB4">
        <w:rPr>
          <w:rFonts w:ascii="Univers-Bold" w:hAnsi="Univers-Bold" w:cs="Univers-Bold"/>
          <w:b/>
          <w:bCs/>
          <w:lang w:val="en-US"/>
        </w:rPr>
        <w:t>REFERENCES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Aimone, T. 1986. Culture notes.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GrowerTalks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50:16.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Blessington-Haley, T., and D. W. Reed. 2004. Optimum potassium concentrations in recirculating subirrigation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for selected greenhouse crops.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HortScience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39:1441–1444.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Chang, Y.-C., and W. B. Miller. 2003. Growth and calcium partitioning in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Lilium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‘Star Gazer’ in relation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to leaf calcium deficiency.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Journal of the American Society for Horticultural Science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128:788–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796.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Clark, G. E. 1997. Effects of nitrogen and potassium nutrition on soil-grown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Sandersonia aurantiaca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stem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and tuber production.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New Zealand Journal of Crop and Horticultural Science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25:385–390.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Cornell, J. A. 2002.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Experiments with Mixtures. Designs, Models, and the Analysis of Mixture Data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3rd ed. New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York: Wiley.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De Hertogh, A. A., and M. LeNard. 1993. Physiological and biochemical aspects of flower bulbs. In: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Physiology of Flower Bulbs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eds. A. A. De Hertogh and M. LeNard, pp. 53–69. Amsterdam: Elsevier.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Dole, J. M., and H. F. Wilkins. 1999.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Floriculture, Principles and Species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. Upper Saddle River, NJ: Prentice-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Hall.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Fageria, V. D. 2001. Nutrient interactions in crop plants.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Journal of Pant Nutrition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24: 1269–1290.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2"/>
          <w:szCs w:val="12"/>
          <w:lang w:val="en-US"/>
        </w:rPr>
      </w:pPr>
      <w:r w:rsidRPr="00A05DB4">
        <w:rPr>
          <w:rFonts w:ascii="Courier" w:hAnsi="Courier" w:cs="Courier"/>
          <w:sz w:val="12"/>
          <w:szCs w:val="12"/>
          <w:lang w:val="en-US"/>
        </w:rPr>
        <w:t>Downloaded By: [Vladez-Aguilar, Luis A.] At: 14:32 1 December 2010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</w:pPr>
      <w:r w:rsidRPr="00A05DB4">
        <w:rPr>
          <w:rFonts w:ascii="NewBaskerville-Roman" w:hAnsi="NewBaskerville-Roman" w:cs="NewBaskerville-Roman"/>
          <w:sz w:val="20"/>
          <w:szCs w:val="20"/>
          <w:lang w:val="en-US"/>
        </w:rPr>
        <w:t xml:space="preserve">26 </w:t>
      </w:r>
      <w:r w:rsidRPr="00A05DB4">
        <w:rPr>
          <w:rFonts w:ascii="NewBaskerville-Italic" w:hAnsi="NewBaskerville-Italic" w:cs="NewBaskerville-Italic"/>
          <w:i/>
          <w:iCs/>
          <w:sz w:val="20"/>
          <w:szCs w:val="20"/>
          <w:lang w:val="en-US"/>
        </w:rPr>
        <w:t>M. Marin et al.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Kent, M. W., and D. W. Reed. 1996. Nitrogen nutrition of New Guinea impatiens ‘Barbados’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spathiphyllum ‘Petite’ in a subirrigation system.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Journal of the American Society for Horticultural Science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121: 816–819.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Marschner, H. 1995.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Mineral Nutrition of Higher Plants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2nd ed. San Diego, CA: Academic Press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McKenzie, K. 1989. Potted lilies made easy: The new, naturally short Asiatic lily varieties.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GrowerTalks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52:48–58.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Mengel, K., and E. A. Kirkby. 2001.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Principles of Plant Nutrition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5th ed.Dordrecht, the Netherlands: Kluwer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Academic Publishers.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Merhaut, D., and J. Newman. 2005. Effects of substrate type on plant growth and nitrate leaching in cut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flower production of oriental lily.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HortScience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40: 2135–2137.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Niedziela, Jr., C. E., S. H. Kim, P. V. Nelson, and A. A. De Hertogh. 2008. Effects of N-P-K deficiency and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temperature regime on the growth and development of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Lilium longiflorum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‘Nellie White’ during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bulb production under phytotron conditions.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Scientia Horticulturae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116: 430–436.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Ortega-Blu, R., M. Correa-Benguria, and E. Olate-Mu˜noz. 2006. Determination of nutrient accumulation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curves in three cultivars of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Lilium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spp. for cut flower.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Agrociencia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40: 77–88.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Soussana, J.-F., F. R.Minchin, J. H.Macduff, N. Raistrick, M. T. Abberton, and T. P. T. Michaelson-Yeates.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2002. A simple model of feedback regulation for nitrate uptake and N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 xml:space="preserve">2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fixation in contrasting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lastRenderedPageBreak/>
        <w:t xml:space="preserve">phenotypes of white clover.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Annals of Botany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90: 139–147.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Subasinghe, R. 2007. Effect of external nitrogen and potassium supply on xylem sap composition of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sugarcane.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Journal of Plant Nutrition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30: 187–201.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Tillard, P., L. Passama, and A. Gojon. 1998. Are phloem aminoacids involved in the shoot to root control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2"/>
          <w:szCs w:val="12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of NO</w:t>
      </w:r>
      <w:r w:rsidRPr="00A05DB4">
        <w:rPr>
          <w:rFonts w:ascii="NewBaskerville-Roman" w:hAnsi="NewBaskerville-Roman" w:cs="NewBaskerville-Roman"/>
          <w:sz w:val="12"/>
          <w:szCs w:val="12"/>
          <w:lang w:val="en-US"/>
        </w:rPr>
        <w:t>3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MTSY" w:eastAsia="MTSY" w:hAnsi="NewBaskerville-Italic" w:cs="MTSY" w:hint="eastAsia"/>
          <w:sz w:val="12"/>
          <w:szCs w:val="12"/>
          <w:lang w:val="en-US"/>
        </w:rPr>
        <w:t>−</w:t>
      </w:r>
      <w:r w:rsidRPr="00A05DB4">
        <w:rPr>
          <w:rFonts w:ascii="MTSY" w:eastAsia="MTSY" w:hAnsi="NewBaskerville-Italic" w:cs="MTSY"/>
          <w:sz w:val="12"/>
          <w:szCs w:val="12"/>
          <w:lang w:val="en-US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uptake in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Ricinus communis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plants?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 xml:space="preserve">Journal of Experimental Botany 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49: 1371–1379.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Tinker, P. B., and P. H. Nye. 2000.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Solute Movement in the Rhizosphere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. New York: Oxford University Press.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Touraine, B., D. T. Clarkson, and B. Muller. 1994. Regulation of nitrate uptake at the whole plant level.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In: </w:t>
      </w:r>
      <w:r w:rsidRPr="00A05DB4">
        <w:rPr>
          <w:rFonts w:ascii="NewBaskerville-Italic" w:hAnsi="NewBaskerville-Italic" w:cs="NewBaskerville-Italic"/>
          <w:i/>
          <w:iCs/>
          <w:sz w:val="16"/>
          <w:szCs w:val="16"/>
          <w:lang w:val="en-US"/>
        </w:rPr>
        <w:t>A Whole Plant Perspective on Carbon-Nitrogen Interactions</w:t>
      </w: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, eds. J. Roy, and E. Garnier, pp. 11–30. The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Hague: SPB Academic.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  <w:lang w:val="en-US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>Whitcher, C. L., M. W. Kent, and D. W. Reed. 2005. Phosphorus concentration affects New Guinea</w:t>
      </w:r>
    </w:p>
    <w:p w:rsidR="00A05DB4" w:rsidRPr="00A05DB4" w:rsidRDefault="00A05DB4" w:rsidP="00A05DB4">
      <w:pPr>
        <w:autoSpaceDE w:val="0"/>
        <w:autoSpaceDN w:val="0"/>
        <w:adjustRightInd w:val="0"/>
        <w:spacing w:after="0" w:line="240" w:lineRule="auto"/>
        <w:rPr>
          <w:rFonts w:ascii="NewBaskerville-Roman" w:hAnsi="NewBaskerville-Roman" w:cs="NewBaskerville-Roman"/>
          <w:sz w:val="16"/>
          <w:szCs w:val="16"/>
        </w:rPr>
      </w:pPr>
      <w:r w:rsidRPr="00A05DB4">
        <w:rPr>
          <w:rFonts w:ascii="NewBaskerville-Roman" w:hAnsi="NewBaskerville-Roman" w:cs="NewBaskerville-Roman"/>
          <w:sz w:val="16"/>
          <w:szCs w:val="16"/>
          <w:lang w:val="en-US"/>
        </w:rPr>
        <w:t xml:space="preserve">impatiens and vinca in recirculating subirrigation. </w:t>
      </w:r>
      <w:proofErr w:type="spellStart"/>
      <w:r w:rsidRPr="00A05DB4">
        <w:rPr>
          <w:rFonts w:ascii="NewBaskerville-Italic" w:hAnsi="NewBaskerville-Italic" w:cs="NewBaskerville-Italic"/>
          <w:i/>
          <w:iCs/>
          <w:sz w:val="16"/>
          <w:szCs w:val="16"/>
        </w:rPr>
        <w:t>HortScience</w:t>
      </w:r>
      <w:proofErr w:type="spellEnd"/>
      <w:r w:rsidRPr="00A05DB4">
        <w:rPr>
          <w:rFonts w:ascii="NewBaskerville-Italic" w:hAnsi="NewBaskerville-Italic" w:cs="NewBaskerville-Italic"/>
          <w:i/>
          <w:iCs/>
          <w:sz w:val="16"/>
          <w:szCs w:val="16"/>
        </w:rPr>
        <w:t xml:space="preserve"> </w:t>
      </w:r>
      <w:r w:rsidRPr="00A05DB4">
        <w:rPr>
          <w:rFonts w:ascii="NewBaskerville-Roman" w:hAnsi="NewBaskerville-Roman" w:cs="NewBaskerville-Roman"/>
          <w:sz w:val="16"/>
          <w:szCs w:val="16"/>
        </w:rPr>
        <w:t>40: 2047–2051.</w:t>
      </w:r>
    </w:p>
    <w:p w:rsidR="00682070" w:rsidRDefault="00A05DB4" w:rsidP="00A05DB4">
      <w:proofErr w:type="spellStart"/>
      <w:r w:rsidRPr="00A05DB4">
        <w:rPr>
          <w:rFonts w:ascii="Courier" w:hAnsi="Courier" w:cs="Courier"/>
          <w:sz w:val="12"/>
          <w:szCs w:val="12"/>
        </w:rPr>
        <w:t>Downloaded</w:t>
      </w:r>
      <w:proofErr w:type="spellEnd"/>
    </w:p>
    <w:sectPr w:rsidR="00682070" w:rsidSect="0016727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Baskervill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SY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MT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Baskervil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5DB4"/>
    <w:rsid w:val="0016727C"/>
    <w:rsid w:val="00682070"/>
    <w:rsid w:val="00936B65"/>
    <w:rsid w:val="00971D14"/>
    <w:rsid w:val="00A05DB4"/>
    <w:rsid w:val="00C1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5091</Words>
  <Characters>28004</Characters>
  <Application>Microsoft Office Word</Application>
  <DocSecurity>0</DocSecurity>
  <Lines>233</Lines>
  <Paragraphs>66</Paragraphs>
  <ScaleCrop>false</ScaleCrop>
  <Company/>
  <LinksUpToDate>false</LinksUpToDate>
  <CharactersWithSpaces>33029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2011-12-13T18:03:00Z</dcterms:created>
  <dcterms:modified xsi:type="dcterms:W3CDTF">2012-01-25T19:46:00Z</dcterms:modified>
</cp:coreProperties>
</file>